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93 vom 27. Oktober 2025</w:t>
      </w:r>
    </w:p>
    <w:p>
      <w:r>
        <w:t>VS Kantonsgericht, 2025-10-27, FR</w:t>
      </w:r>
    </w:p>
    <w:p>
      <w:r>
        <w:rPr>
          <w:b/>
        </w:rPr>
        <w:t xml:space="preserve">Quelle: </w:t>
      </w:r>
      <w:r>
        <w:t>https://mcp.opencaselaw.ch/entscheid/vs_gerichte_S1 24 93</w:t>
      </w:r>
    </w:p>
    <w:p>
      <w:r>
        <w:t>FR: VS_GERICHTE S1 24 93 du 27 octobre 2025</w:t>
      </w:r>
    </w:p>
    <w:p>
      <w:r>
        <w:t>IT: VS_GERICHTE S1 24 93 del 27 ottobre 2025</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27 mai 2024, le présent recours à l’encontre de la décision du 26 avril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c’est le nouveau droit qui est applicable, compte tenu de la date de la nouvelle demande de prestations et des faits juridiquement déterminants.</w:t>
      </w:r>
    </w:p>
    <w:p>
      <w:r>
        <w:rPr>
          <w:b/>
        </w:rPr>
        <w:t>E. 2.1</w:t>
      </w:r>
    </w:p>
    <w:p>
      <w:r>
        <w:t>Le litige porte sur le refus de l’OAI, dans le cadre d’une nouvelle demande de prestations, d’octroyer tout droit au recourant à des prestations AI (mesures d’ordre professionnel, indemnités journalières, rente d’invalidité).</w:t>
      </w:r>
    </w:p>
    <w:p>
      <w:r>
        <w:t>- 7 -</w:t>
      </w:r>
    </w:p>
    <w:p>
      <w:r>
        <w:rPr>
          <w:b/>
        </w:rPr>
        <w:t>E. 2.2</w:t>
      </w:r>
    </w:p>
    <w:p>
      <w:r>
        <w:t>A teneur de l'article 17 alinéa 1 LPGA, la rente d’invalidité est, d’office ou sur demande, révisée pour l’avenir, à savoir augmentée, réduite ou supprimée, lorsque le taux d’invalidité de l’assuré :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(art. 17 al. 2 LPGA). Les règles sur la révision d’une rente sont applicables par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 consid. 1b).</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140 V 193 consid. 3.2, 125 V 256, 115 V 133 consid. 2, 114 V 310 consid. 3c et 105 V 156 consid. 1 ; arrêt du Tribunal fédéral 8C_761/2014 du 15 octobre 2015 consid. 3.4).</w:t>
      </w:r>
    </w:p>
    <w:p>
      <w:r>
        <w:t>- 8 -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54a LAI et 49 RAI ; cf. CIIAI, ch. 1001 ss). Selon l’article 54a alinéa 2 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 du Tribunal fédéral 9C_748/2013 du 10 février 2014 consid. 4.1.1 et 4.1.2 ; arrêt du Tribunal fédéral des assurances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w:t>
      </w:r>
    </w:p>
    <w:p>
      <w:r>
        <w:t>- 10 -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du Tribunal fédéral U 571/06 du 29 mai 2007 consid. 4.2 et les références).</w:t>
      </w:r>
    </w:p>
    <w:p>
      <w:r>
        <w:rPr>
          <w:b/>
        </w:rPr>
        <w:t>E. 2.5</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 3.</w:t>
      </w:r>
    </w:p>
    <w:p>
      <w:r>
        <w:t>- 11 - 3.1 Dans le cas d’espèce, il convient d’examiner si, depuis le dernier examen matériel du droit à des prestations AI, la situation médicale du recourant s’est aggravée et lui donne le droit à de telles prestations. 3.2 Lorsque le droit à des prestations AI a été nié par décision du 15 octobre 2021, l’intéressé ne présentait plus d’incapacité de travail en raison de troubles psychiques et avait repris son activité habituelle de logisticien à 100% dès le 1er mai 2021. En mai 2023, l’assuré a formulé une nouvelle demande de prestations AI, soutenant qu’il était en incapacité totale de travail depuis le 28 février (recte : mars) précédent et qu’il souffrait d’un TDAH, d’acouphènes, d’un pneumothorax et d’un burn-out. En présence d’un éventuel motif de révision au sens de l’article 17 LPGA, l’intimé est entré en matière sur la nouvelle demande de prestations du 3 mai 2023. A l’issue de l’instruction qu’il a menée, l’OAI s’est fondé sur l’avis de la Dresse I.____, spécialiste FMH en psychiatrie et psychothérapie mandatée par l’assureur collectif perte de gain en cas de maladie de l’intéressé, lequel a été confirmé par son SMR, pour retenir qu’une pleine capacité de travail avait été recouvrée par le recourant dans son activité habituelle de logisticien depuis le 21 novembre 2023, date de l’expertise de la Dresse I.____. Ce dernier considère quant à lui que le rapport d’expertise ne respecte pas les critères jurisprudentiels permettant de lui reconnaître une valeur probante et que l’avis du Dr J.____ et de la psychologue M.____, selon lesquels il serait encore en incapacité de travail, n’a pas suffisamment été pris en compte. 3.2.1 A la lecture de l’expertise psychiatrique du 21 novembre 2023 de la Dresse I.____, force est de constater que celle-ci répond entièrement aux conditions jurisprudentielles pour lui reconnaître une pleine valeur probante. En particulier, l’experte s’est fondée sur les pièces médicales au dossier, notamment l’avis du 10 juillet 2023 du Dr G.____ et de la Dresse H.____, spécialistes en psychiatrie et psychothérapie à R.____, ayant justifié d’entrer en matière sur la nouvelle demande de prestations AI, puis a établi une anamnèse, avant de décrire de manière détaillée les plaintes du recourant et sa journée type. La Dresse I.____ a ensuite procédé à un examen clinique complet permettant d’arrêter un diagnostic sur la base de constatations objectives, après avoir discuté les diagnostics posés par les médecins de R.____. Enfin, les conclusions de l’experte ont été énoncées de manière motivée et cohérente (cf. expertise du 21 novembre 2023, pièce OAI 100). Dans un rapport complémentaire du 15 avril 2024, la Dresse I.____ a en outre pris position sur l’avis du 26 mars 2023 de la psychologue M.____, que le Dr J.____ n’a fait que confirmer dans son attestation non datée, et expliqué de manière</w:t>
      </w:r>
    </w:p>
    <w:p>
      <w:r>
        <w:t>- 12 - précise pour quelles raisons celui-ci ne modifiait pas les conclusions de son expertise, comme cela sera développé ci-dessous (cf. rapport complémentaire du 15 avril 2024, pièce OAI 76). A l’examen des indicateurs appartenant à la catégorie « degré de gravité fonctionnel », formant le socle de base (ATF 141 V 281 consid. 4.3), l’on observe que l’experte psychiatre a analysé les critères de gravité conformément aux réquisits jurisprudentiels. Elle a d’abord dûment motivé le diagnostic non incapacitant qu’elle a retenu (comportements impulsifs et compulsifs à l’adolescence avec de fortes consommations d’alcool et de cannabis, troubles de l’image de soi avec des troubles des conduites alimentaires, attaques de panique et troubles anxieux en début de mise en incapacité de travail, questionnements existentiels, isolement, difficulté à communiquer avec autrui, pas de vie de couple ni de réseau d’amis, activités de loisirs en solitaire, hypersensibilité, le tout permettant de retenir des traits de personnalité particuliers, de type schizoïde et anxieux). L’experte a de plus clairement expliqué pour quelles raisons elle ne retenait pas les diagnostics d’épisode dépressif moyen (trouble ancien, évaluation objective au jour de l’expertise qui n’a permis de retenir aucun des critères diagnostic selon la CIM 10, prise en charge très en-dessous de la prise en charge habituelle de ce type de trouble, traitement proposé pris de façon très ponctuelle), de TDAH (trouble non confirmé par le bilan neurologique effectué en mars 2024) et de TSA (traits de personnalité pathologique de type schizoïdes et anxieux objectivés correspondant à la définition de symptômes d’allure autistique, diagnostique de TSA de niveau 1 non contradictoire avec le trouble de la personnalité sans précision, avec des traits schizoïdes et évitants, posé, TSA souvent retenu à l’âge adulte dans le cadre d’un diagnostic de personnalité pathologique). L’experte a ensuite indiqué que de nombreuses ressources avaient été conservées par le recourant (assuré autonome et indépendant, vit seul, a tenté de faire une formation professionnelle en début d’année 2023, se décrit comme affirmé au travail et engagé dans son activité), ce qui n’a d’ailleurs pas été remis en cause par l’intéressé. Sous l’angle de l’examen de la catégorie « cohérence » (ATF 141 V 281 consid. 4.4), l’on note que l’expert a estimé qu’il n’existait aucune limitation fonctionnelle dans l’activité professionnelle habituelle. Il est relevé à cet égard les ressources importantes ayant été conservées, énumérées ci-dessus, et permettant au recourant de maintenir différentes activités telles que décrites dans le déroulement de sa journée type (faire le ménage, passer l’aspirateur, faire les courses, marcher durant environ 45 minutes, jouer aux jeux vidéo et sur son téléphone, voir sa mère régulièrement). En outre, la Cour relève que</w:t>
      </w:r>
    </w:p>
    <w:p>
      <w:r>
        <w:t>- 13 - cette analyse des indicateurs a également été effectuée par le Dr L.____, qui a confirmé les conclusions de l’experte. 3.2.2 Le recourant se prévaut quant à lui des avis de la psychologue M.____, posant le diagnostic de TSA de niveau 1, et du Dr J.____, spécialiste en psychiatrie et psychothérapie à R.____, estimant notamment que le diagnostic de TSA expliquait les difficultés de son patient et nécessitait l’intervention de l’AI afin de définir le futur professionnel de ce dernier, tout effort de se réinsérer seul ou avec l’aide du chômage sur le premier marché du travail étant futile. Les avis de ces spécialistes sont toutefois insuffisants pour mettre en doute les conclusions de l’experte psychiatre. En effet, il a été démontré ci-dessus (cf. supra consid. 3.2.1) que l’expertise psychiatrique respectait en tous points les exigences jurisprudentielles et bénéficiait d’une pleine valeur probante. Or, il ne se justifie de s’écarter d’une expertise que si celle-ci contient des contradictions manifestes ou ignore des éléments essentiels, le simple fait qu’un ou plusieurs avis médicaux divergents ont été produits ne suffisant pas à remettre en cause la valeur probante d’une expertise médicale. Ainsi, les avis de la psychologue M.____, dont le diagnostic a été écarté de manière dûment motivée par l’experte, et du Dr J.____, lequel n’a fait que confirmer le diagnostic relevé par la psychologue, ne suffisent pas à remettre en doute les conclusions de la Dresse I.____, étant au demeurant précisé que – contrairement à ce qu’affirme le recourant, ni la psychologue M.____ ni le Dr J.____ ne se sont déterminés sur sa capacité de travail résiduelle. La Cour rappelle en outre à cet égard que selon la jurisprudence relative aux rapports émanant des médecins traitants (cf. supra consid. 2.3), ce qui est à tout le moins le cas du Dr J.____, ces derniers ont tendance à se prononcer en cas de doute plutôt en faveur de leurs patients et que leurs rapports n'aboutissent généralement pas à une appréciation objective de l'état de santé permettant de trancher la question des prestations d'assurance de façon concluante, de sorte qu’ils ne sauraient à eux seuls prévaloir. 3.2.3 Vu les éléments qui précèdent, il n’existe aucun motif susceptible de mettre en doute la valeur probante de l’expertise de la Dresse I.____. Le dossier est en outre suffisamment complet pour qu’un jugement valable puisse être rendu sur la base de celui-ci, sans qu’il ne soit nécessaire d’ordonner l’administration d’un autre moyen de preuve, comme l’expertise ou l’interrogatoire des parties requis par le recourant (appréciation anticipée des moyens de preuves : ATF 145 I 167 consid. 4.1, 144 II 427 consid. 3.1.3 et 141 I 60 consid. 3.3), étant précisé qu’une telle façon de procéder ne viole pas le droit d’être entendu selon l'article 29 alinéa 2 Cst. (ATF 136 I 229 consid. 5.3</w:t>
      </w:r>
    </w:p>
    <w:p>
      <w:r>
        <w:t>- 14 - ; 124 V 90 consid. 4b ; arrêt du Tribunal fédéral 9C_364/2015 du 1er juillet 2015 consid. 3). Dans ces circonstances, l’intimé pouvait à bon droit refuser au recourant tout droit à des prestations AI. 3. 3.1 Les frais, par 500 fr., sont mis à la charge du recourant qui succombe (art. 69 al. 1 bis LAI) et compensés avec l’avance effectuée. 3.2 Le recourant n’ayant pas eu gain de cause, il n’a pas droit à des dépens (art. 61 let. g LPGA a contrario), ni d’ailleurs l’OAI (art. 91 al. 3 LPJA).</w:t>
      </w:r>
    </w:p>
    <w:p>
      <w:r>
        <w:t>Prononce</w:t>
      </w:r>
    </w:p>
    <w:p>
      <w:r>
        <w:t>1. Le recours est rejeté. 2. Les frais, par 500 francs, sont mis à la charge de A.____. 3. Il n’est pas alloué de dépens.</w:t>
      </w:r>
    </w:p>
    <w:p>
      <w:r>
        <w:t>Sion, le 27 octobre 2025</w:t>
      </w:r>
    </w:p>
    <w:p>
      <w:r>
        <w:rPr>
          <w:b/>
        </w:rPr>
        <w:t>E. 6</w:t>
      </w:r>
    </w:p>
    <w:p>
      <w:r>
        <w:t>LPGA, à exercer une activité lucrative ou à accomplir ses travaux habituels dans une mesure qui peut être raisonnablement exigée de lui (art. 54a al. 3 LAI), en tenant compte, qualitativement et quantitativement, de toutes les ressources et limitations physiques, mentales ou psychiques (art. 49 al. 1bis RAI). Ils sont indépendants dans l’évaluation médicale des cas d’espèce (art. 54a al. 4 LAI).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w:t>
      </w:r>
    </w:p>
    <w:p>
      <w:r>
        <w:t>- 9 -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